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2024 64 vom 19. Dezember 2024</w:t>
      </w:r>
    </w:p>
    <w:p>
      <w:r>
        <w:t>SZ Gerichte, 2024-12-19, DE</w:t>
      </w:r>
    </w:p>
    <w:p>
      <w:r>
        <w:rPr>
          <w:b/>
        </w:rPr>
        <w:t xml:space="preserve">Quelle: </w:t>
      </w:r>
      <w:r>
        <w:t>https://mcp.opencaselaw.ch/entscheid/sz_gerichte_ZK2 2024 64</w:t>
      </w:r>
    </w:p>
    <w:p>
      <w:r>
        <w:t>FR: SZ_GERICHTE ZK2 2024 64 du 19 décembre 2024</w:t>
      </w:r>
    </w:p>
    <w:p>
      <w:r>
        <w:t>IT: SZ_GERICHTE ZK2 2024 64 del 19 dicembre 2024</w:t>
      </w:r>
    </w:p>
    <w:p>
      <w:pPr>
        <w:pStyle w:val="Heading2"/>
      </w:pPr>
      <w:r>
        <w:t>Regeste</w:t>
      </w:r>
    </w:p>
    <w:p>
      <w:r>
        <w:t>Nichteintreten auf Schlichtungsgesuch | übriges Vertragsrecht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Die Beschwerde ist aus diesen Gründen gutzuheissen, die angefochte- ne Verfügung aufzuheben und die Sache zum der Säumnis der Beklagten entsprechenden Abschluss des Schlichtungsverfahrens (Art. 206 Abs. 2 ZPO) zurückzuweisen. Ausgangsgemäss gehen die nicht von den Parteien veran- lassten Gerichtskosten des Beschwerdeverfahrens zu Lasten des Kantons (Art. 107 Abs. 2 ZPO). Eine Entschädigung entfällt (BGE 140 III 385 E. 4.1), zumal hier kein grober durch die Beklagte mitverschuldeter oder offensichtli- cher Verfahrensfehler ersichtlich ist (dazu Hofmann/Baeckert, BSK, 4. A. 2024, Art. 107 ZPO N 11 m.H.; BEK 2023 111 vom 4. Oktober 2023 E. 4.b m.H.);-</w:t>
      </w:r>
    </w:p>
    <w:p>
      <w:r>
        <w:t>Kantonsgericht Schwyz 4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